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22" w:rsidRDefault="001E3222">
      <w:pPr>
        <w:autoSpaceDE w:val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Dichiarazione di cui all’articolo 20 del D. Lgs. 39/2013 in materia di inconferibilità e incompatibilità di incarichi presso le pubbliche amministrazioni e presso gli enti privati in controllo pubblico, a norma dell’articolo 1, commi 49 e 50, della legge 6 novembre 2012, n.190; dichiarazione di insussistenza cause di incandidabilità (art. 10 D.lgs. 235/2012- art.6 D.lgs. 149/2011); di ineleggibilità (art. 60 D.lgs. 267/2000- art. 1 co. 734 L. 296/2006)); incompati</w:t>
      </w:r>
      <w:r w:rsidR="005D5D46">
        <w:rPr>
          <w:rFonts w:ascii="Arial" w:hAnsi="Arial" w:cs="Arial"/>
          <w:b/>
          <w:bCs/>
          <w:color w:val="000000"/>
          <w:sz w:val="20"/>
          <w:szCs w:val="20"/>
        </w:rPr>
        <w:t>bilità (art. 63 D.lgs. 267/2000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); inesistenza causa ostativa ex art. 2382 c.c. 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__________________________________________________________________________</w:t>
      </w:r>
    </w:p>
    <w:p w:rsidR="00AE2182" w:rsidRDefault="00AE218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 il _______________________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 w:rsidP="005D5D46">
      <w:pPr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ai fini della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nomina nella carica</w:t>
      </w:r>
      <w:r w:rsidR="005D5D46">
        <w:rPr>
          <w:rFonts w:ascii="Arial" w:hAnsi="Arial" w:cs="Arial"/>
          <w:b/>
          <w:bCs/>
          <w:color w:val="000000"/>
          <w:sz w:val="20"/>
          <w:szCs w:val="20"/>
        </w:rPr>
        <w:t xml:space="preserve"> d</w:t>
      </w:r>
      <w:r w:rsidR="001A398D">
        <w:rPr>
          <w:rFonts w:ascii="Arial" w:hAnsi="Arial" w:cs="Arial"/>
          <w:b/>
          <w:bCs/>
          <w:color w:val="000000"/>
          <w:sz w:val="20"/>
          <w:szCs w:val="20"/>
        </w:rPr>
        <w:t xml:space="preserve">i </w:t>
      </w:r>
      <w:r w:rsidR="007C71A3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AE2182">
        <w:rPr>
          <w:rFonts w:ascii="Arial" w:hAnsi="Arial" w:cs="Arial"/>
          <w:b/>
          <w:bCs/>
          <w:color w:val="000000"/>
          <w:sz w:val="20"/>
          <w:szCs w:val="20"/>
        </w:rPr>
        <w:t>…………………………………………………………………………………</w:t>
      </w:r>
      <w:proofErr w:type="gramStart"/>
      <w:r w:rsidR="00AE2182">
        <w:rPr>
          <w:rFonts w:ascii="Arial" w:hAnsi="Arial" w:cs="Arial"/>
          <w:b/>
          <w:bCs/>
          <w:color w:val="000000"/>
          <w:sz w:val="20"/>
          <w:szCs w:val="20"/>
        </w:rPr>
        <w:t>…….</w:t>
      </w:r>
      <w:proofErr w:type="gramEnd"/>
      <w:r w:rsidR="00AE218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7C71A3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</w:t>
      </w:r>
      <w:r w:rsidR="001A398D">
        <w:rPr>
          <w:rFonts w:ascii="Arial" w:hAnsi="Arial" w:cs="Arial"/>
          <w:b/>
          <w:bCs/>
          <w:color w:val="000000"/>
          <w:sz w:val="20"/>
          <w:szCs w:val="20"/>
        </w:rPr>
        <w:t xml:space="preserve">della </w:t>
      </w:r>
      <w:r w:rsidR="00AE2182">
        <w:rPr>
          <w:rFonts w:ascii="Arial" w:hAnsi="Arial" w:cs="Arial"/>
          <w:b/>
          <w:bCs/>
          <w:color w:val="000000"/>
          <w:sz w:val="20"/>
          <w:szCs w:val="20"/>
        </w:rPr>
        <w:t>SRR Enna Provincia ATO 6 Scpa,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presa visione del D.</w:t>
      </w:r>
      <w:r w:rsidR="005D5D4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Lgs. 39/2013, D.</w:t>
      </w:r>
      <w:r w:rsidR="005D5D4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Lgs. 267/2000 D.</w:t>
      </w:r>
      <w:r w:rsidR="005D5D4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Lgs. 235/2012, </w:t>
      </w:r>
    </w:p>
    <w:p w:rsidR="005D5D46" w:rsidRDefault="005D5D46" w:rsidP="005D5D46">
      <w:pPr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jc w:val="both"/>
      </w:pPr>
      <w:r>
        <w:rPr>
          <w:rFonts w:ascii="Arial" w:hAnsi="Arial" w:cs="Arial"/>
          <w:color w:val="000000"/>
          <w:sz w:val="20"/>
          <w:szCs w:val="20"/>
        </w:rPr>
        <w:t>- ai sensi degli articoli 46 e 47 del D.P.R. 28 dicembre 2000, n. 445 (Testo unico delle disposizioni legislative e regolamentari in materia di documentazione amministrativa);</w:t>
      </w:r>
    </w:p>
    <w:p w:rsidR="001E3222" w:rsidRDefault="001E3222">
      <w:pPr>
        <w:autoSpaceDE w:val="0"/>
        <w:jc w:val="both"/>
      </w:pPr>
      <w:r>
        <w:rPr>
          <w:rFonts w:ascii="Arial" w:hAnsi="Arial" w:cs="Arial"/>
          <w:color w:val="000000"/>
          <w:sz w:val="20"/>
          <w:szCs w:val="20"/>
        </w:rPr>
        <w:t>- consapevole dei controlli sulla veridicità delle dichiarazioni che l’amministrazione procedente è tenuta ad effettuare, ai sensi dell’art. 71 dello stesso D.P.R. 445/2000, e delle sanzioni previste dagli artt. 75 e 76 dello stesso D.P.R. 445/2000;</w:t>
      </w:r>
    </w:p>
    <w:p w:rsidR="001E3222" w:rsidRDefault="001E3222">
      <w:pPr>
        <w:autoSpaceDE w:val="0"/>
        <w:jc w:val="both"/>
      </w:pPr>
      <w:r>
        <w:rPr>
          <w:rFonts w:ascii="Arial" w:hAnsi="Arial" w:cs="Arial"/>
          <w:color w:val="000000"/>
          <w:sz w:val="20"/>
          <w:szCs w:val="20"/>
        </w:rPr>
        <w:t>- consapevole che, ai sensi dell’articolo 20, comma 5, del D.</w:t>
      </w:r>
      <w:r w:rsidR="001A398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Lgs. 39/2013 la dichiarazione mendace comporta la inconferibilità di qualsivoglia incarico di cui allo stesso decreto legislativo per un periodo di 5 anni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142"/>
      </w:tblGrid>
      <w:tr w:rsidR="001E3222"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22" w:rsidRDefault="001E3222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 riferimento alle cause di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INCANDIDABILITA’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previste dall’art. 10 del D.lgs. 235/2012 ed art. 6 D.lgs. 149/2011</w:t>
            </w:r>
          </w:p>
        </w:tc>
      </w:tr>
    </w:tbl>
    <w:p w:rsidR="001E3222" w:rsidRDefault="001E3222">
      <w:pPr>
        <w:autoSpaceDE w:val="0"/>
        <w:rPr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jc w:val="both"/>
      </w:pPr>
      <w:r>
        <w:rPr>
          <w:b/>
          <w:bCs/>
          <w:color w:val="000000"/>
          <w:sz w:val="20"/>
          <w:szCs w:val="20"/>
        </w:rPr>
        <w:t xml:space="preserve">1. </w:t>
      </w:r>
      <w:r>
        <w:rPr>
          <w:rFonts w:ascii="Wingdings" w:hAnsi="Wingdings" w:cs="Wingdings"/>
          <w:color w:val="000000"/>
          <w:sz w:val="20"/>
          <w:szCs w:val="20"/>
        </w:rPr>
        <w:t>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color w:val="000000"/>
          <w:sz w:val="20"/>
          <w:szCs w:val="20"/>
        </w:rPr>
        <w:t>non incorrere</w:t>
      </w:r>
      <w:r>
        <w:rPr>
          <w:rFonts w:ascii="Arial" w:hAnsi="Arial" w:cs="Arial"/>
          <w:color w:val="000000"/>
          <w:sz w:val="20"/>
          <w:szCs w:val="20"/>
        </w:rPr>
        <w:t xml:space="preserve"> in alcuna delle cause di incandidabilità di cui </w:t>
      </w:r>
      <w:r>
        <w:rPr>
          <w:rFonts w:ascii="Arial" w:hAnsi="Arial" w:cs="Arial"/>
          <w:b/>
          <w:color w:val="000000"/>
          <w:sz w:val="20"/>
          <w:szCs w:val="20"/>
        </w:rPr>
        <w:t>all’art. 10 D.lgs. 235/2012 – art. 6 D.lgs.149/2011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142"/>
      </w:tblGrid>
      <w:tr w:rsidR="001E3222"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22" w:rsidRDefault="001E3222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 riferimento alle cause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OSTATIVE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previste dall’art. 2382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cod.civ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b/>
          <w:bCs/>
          <w:color w:val="000000"/>
          <w:sz w:val="20"/>
          <w:szCs w:val="20"/>
        </w:rPr>
        <w:t xml:space="preserve">1. </w:t>
      </w:r>
      <w:r>
        <w:rPr>
          <w:rFonts w:ascii="Wingdings" w:hAnsi="Wingdings" w:cs="Wingdings"/>
          <w:color w:val="000000"/>
          <w:sz w:val="20"/>
          <w:szCs w:val="20"/>
        </w:rPr>
        <w:t>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color w:val="000000"/>
          <w:sz w:val="20"/>
          <w:szCs w:val="20"/>
        </w:rPr>
        <w:t>non incorrere</w:t>
      </w:r>
      <w:r>
        <w:rPr>
          <w:rFonts w:ascii="Arial" w:hAnsi="Arial" w:cs="Arial"/>
          <w:color w:val="000000"/>
          <w:sz w:val="20"/>
          <w:szCs w:val="20"/>
        </w:rPr>
        <w:t xml:space="preserve"> in alcuna delle cause ostative di cui </w:t>
      </w:r>
      <w:r>
        <w:rPr>
          <w:rFonts w:ascii="Arial" w:hAnsi="Arial" w:cs="Arial"/>
          <w:b/>
          <w:color w:val="000000"/>
          <w:sz w:val="20"/>
          <w:szCs w:val="20"/>
        </w:rPr>
        <w:t>all’art. 2382 cod.</w:t>
      </w:r>
      <w:r w:rsidR="001A39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civ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E3222" w:rsidRDefault="001E3222">
      <w:pPr>
        <w:autoSpaceDE w:val="0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142"/>
      </w:tblGrid>
      <w:tr w:rsidR="001E3222"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22" w:rsidRDefault="001E3222" w:rsidP="00C05123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 riferimento alle cause di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INELEGGIBILITA’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previste da</w:t>
            </w:r>
            <w:r w:rsidR="00C05123">
              <w:rPr>
                <w:rFonts w:ascii="Arial" w:hAnsi="Arial" w:cs="Arial"/>
                <w:color w:val="000000"/>
                <w:sz w:val="20"/>
                <w:szCs w:val="20"/>
              </w:rPr>
              <w:t>ll’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art. 60 del D.lgs. 267/2000 ed art. 1 co. 734 L. 296/2006</w:t>
            </w:r>
          </w:p>
        </w:tc>
      </w:tr>
    </w:tbl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jc w:val="both"/>
      </w:pPr>
      <w:r>
        <w:rPr>
          <w:b/>
          <w:bCs/>
          <w:color w:val="000000"/>
          <w:sz w:val="20"/>
          <w:szCs w:val="20"/>
        </w:rPr>
        <w:t xml:space="preserve">1. </w:t>
      </w:r>
      <w:r>
        <w:rPr>
          <w:rFonts w:ascii="Wingdings" w:hAnsi="Wingdings" w:cs="Wingdings"/>
          <w:color w:val="000000"/>
          <w:sz w:val="20"/>
          <w:szCs w:val="20"/>
        </w:rPr>
        <w:t>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color w:val="000000"/>
          <w:sz w:val="20"/>
          <w:szCs w:val="20"/>
        </w:rPr>
        <w:t>non incorrere</w:t>
      </w:r>
      <w:r>
        <w:rPr>
          <w:rFonts w:ascii="Arial" w:hAnsi="Arial" w:cs="Arial"/>
          <w:color w:val="000000"/>
          <w:sz w:val="20"/>
          <w:szCs w:val="20"/>
        </w:rPr>
        <w:t xml:space="preserve"> in alcuna delle cause di ineleggibilità di cui agli </w:t>
      </w:r>
      <w:r>
        <w:rPr>
          <w:rFonts w:ascii="Arial" w:hAnsi="Arial" w:cs="Arial"/>
          <w:b/>
          <w:color w:val="000000"/>
          <w:sz w:val="20"/>
          <w:szCs w:val="20"/>
        </w:rPr>
        <w:t>artt. 60 D.lgs. 267/2000 ed art. 1 comma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734 L. 296/2006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tabs>
          <w:tab w:val="left" w:pos="4440"/>
        </w:tabs>
        <w:autoSpaceDE w:val="0"/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142"/>
      </w:tblGrid>
      <w:tr w:rsidR="001E3222"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22" w:rsidRDefault="001E3222">
            <w:pPr>
              <w:autoSpaceDE w:val="0"/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riferimento alle cause di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INCONFERIBILITA'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previste dagli artt. 3 e 7 del D.</w:t>
            </w:r>
            <w:r w:rsidR="00FD73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gs. 39/2013</w:t>
            </w:r>
          </w:p>
        </w:tc>
      </w:tr>
    </w:tbl>
    <w:p w:rsidR="001E3222" w:rsidRDefault="001E3222">
      <w:pPr>
        <w:autoSpaceDE w:val="0"/>
        <w:rPr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b/>
          <w:bCs/>
          <w:color w:val="000000"/>
          <w:sz w:val="20"/>
          <w:szCs w:val="20"/>
        </w:rPr>
        <w:t xml:space="preserve">1. </w:t>
      </w:r>
      <w:r>
        <w:rPr>
          <w:rFonts w:ascii="Wingdings" w:hAnsi="Wingdings" w:cs="Wingdings"/>
          <w:color w:val="000000"/>
          <w:sz w:val="20"/>
          <w:szCs w:val="20"/>
        </w:rPr>
        <w:t>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color w:val="000000"/>
          <w:sz w:val="20"/>
          <w:szCs w:val="20"/>
        </w:rPr>
        <w:t>non incorrere</w:t>
      </w:r>
      <w:r>
        <w:rPr>
          <w:rFonts w:ascii="Arial" w:hAnsi="Arial" w:cs="Arial"/>
          <w:color w:val="000000"/>
          <w:sz w:val="20"/>
          <w:szCs w:val="20"/>
        </w:rPr>
        <w:t xml:space="preserve"> in alcuna delle cause di inconferibilità previste dagli </w:t>
      </w:r>
      <w:r>
        <w:rPr>
          <w:rFonts w:ascii="Arial" w:hAnsi="Arial" w:cs="Arial"/>
          <w:b/>
          <w:bCs/>
          <w:color w:val="000000"/>
          <w:sz w:val="20"/>
          <w:szCs w:val="20"/>
        </w:rPr>
        <w:t>artt. 3 e 7 del D.</w:t>
      </w:r>
      <w:r w:rsidR="00FD7374">
        <w:rPr>
          <w:rFonts w:ascii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gs. 39/2013 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218"/>
      </w:tblGrid>
      <w:tr w:rsidR="001E3222">
        <w:tc>
          <w:tcPr>
            <w:tcW w:w="10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22" w:rsidRDefault="001E3222">
            <w:pPr>
              <w:autoSpaceDE w:val="0"/>
              <w:snapToGrid w:val="0"/>
            </w:pPr>
          </w:p>
        </w:tc>
      </w:tr>
    </w:tbl>
    <w:p w:rsidR="001E3222" w:rsidRDefault="001E3222">
      <w:pPr>
        <w:autoSpaceDE w:val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142"/>
      </w:tblGrid>
      <w:tr w:rsidR="001E3222"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22" w:rsidRDefault="001E3222">
            <w:pPr>
              <w:autoSpaceDE w:val="0"/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riferimento alle cause di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INCOMPATIBILITA’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previste dall’art.63 D.</w:t>
            </w:r>
            <w:r w:rsidR="00FD73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gs. 267/2000</w:t>
            </w:r>
          </w:p>
        </w:tc>
      </w:tr>
    </w:tbl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13"/>
          <w:szCs w:val="13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13"/>
          <w:szCs w:val="13"/>
        </w:rPr>
      </w:pPr>
    </w:p>
    <w:p w:rsidR="001E3222" w:rsidRDefault="001E3222">
      <w:pPr>
        <w:autoSpaceDE w:val="0"/>
        <w:jc w:val="both"/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non trovarsi </w:t>
      </w:r>
      <w:r>
        <w:rPr>
          <w:rFonts w:ascii="Arial" w:hAnsi="Arial" w:cs="Arial"/>
          <w:color w:val="000000"/>
          <w:sz w:val="20"/>
          <w:szCs w:val="20"/>
        </w:rPr>
        <w:t>in alcuna delle situazioni di incompatibilità previste dall'</w:t>
      </w:r>
      <w:r>
        <w:rPr>
          <w:rFonts w:ascii="Arial" w:hAnsi="Arial" w:cs="Arial"/>
          <w:b/>
          <w:color w:val="000000"/>
          <w:sz w:val="20"/>
          <w:szCs w:val="20"/>
        </w:rPr>
        <w:t xml:space="preserve">art.63 D.lgs. 267/2000 </w:t>
      </w:r>
    </w:p>
    <w:p w:rsidR="001E3222" w:rsidRDefault="00FD7374">
      <w:pPr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1E3222">
        <w:rPr>
          <w:rFonts w:ascii="Arial" w:hAnsi="Arial" w:cs="Arial"/>
          <w:color w:val="000000"/>
          <w:sz w:val="20"/>
          <w:szCs w:val="20"/>
        </w:rPr>
        <w:t>vvero</w:t>
      </w:r>
    </w:p>
    <w:p w:rsidR="00FD7374" w:rsidRDefault="00FD7374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trovarsi </w:t>
      </w:r>
      <w:r>
        <w:rPr>
          <w:rFonts w:ascii="Arial" w:hAnsi="Arial" w:cs="Arial"/>
          <w:color w:val="000000"/>
          <w:sz w:val="20"/>
          <w:szCs w:val="20"/>
        </w:rPr>
        <w:t xml:space="preserve">nella seguente situazione di incompatibilità prevista </w:t>
      </w:r>
      <w:r>
        <w:rPr>
          <w:rFonts w:ascii="Arial" w:hAnsi="Arial" w:cs="Arial"/>
          <w:b/>
          <w:color w:val="000000"/>
          <w:sz w:val="20"/>
          <w:szCs w:val="20"/>
        </w:rPr>
        <w:t>dall’art. 63 D</w:t>
      </w:r>
      <w:r w:rsidR="001A398D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>lgs. 267/2000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D7374" w:rsidRDefault="00FD7374">
      <w:pPr>
        <w:autoSpaceDE w:val="0"/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13"/>
          <w:szCs w:val="13"/>
        </w:rPr>
      </w:pPr>
    </w:p>
    <w:p w:rsidR="001E3222" w:rsidRDefault="001E3222">
      <w:pPr>
        <w:autoSpaceDE w:val="0"/>
        <w:spacing w:line="480" w:lineRule="auto"/>
        <w:jc w:val="both"/>
      </w:pPr>
      <w:r>
        <w:rPr>
          <w:rFonts w:ascii="Arial" w:hAnsi="Arial" w:cs="Arial"/>
          <w:b/>
          <w:bCs/>
          <w:color w:val="000000"/>
          <w:sz w:val="13"/>
          <w:szCs w:val="13"/>
        </w:rPr>
        <w:lastRenderedPageBreak/>
        <w:t>_________________________________________________________________________________________________________________________________________</w:t>
      </w:r>
    </w:p>
    <w:p w:rsidR="001E3222" w:rsidRDefault="001E3222">
      <w:pPr>
        <w:autoSpaceDE w:val="0"/>
        <w:spacing w:line="480" w:lineRule="auto"/>
        <w:jc w:val="both"/>
      </w:pPr>
      <w:r>
        <w:rPr>
          <w:rFonts w:ascii="Arial" w:hAnsi="Arial" w:cs="Arial"/>
          <w:b/>
          <w:bCs/>
          <w:color w:val="000000"/>
          <w:sz w:val="13"/>
          <w:szCs w:val="13"/>
        </w:rPr>
        <w:t>_________________________________________________________________________________________________________________________________________</w:t>
      </w:r>
    </w:p>
    <w:p w:rsidR="001E3222" w:rsidRDefault="001E3222">
      <w:pPr>
        <w:autoSpaceDE w:val="0"/>
        <w:spacing w:line="480" w:lineRule="auto"/>
        <w:jc w:val="both"/>
        <w:rPr>
          <w:rFonts w:ascii="Arial" w:hAnsi="Arial" w:cs="Arial"/>
          <w:b/>
          <w:bCs/>
          <w:color w:val="000000"/>
          <w:sz w:val="13"/>
          <w:szCs w:val="13"/>
        </w:rPr>
      </w:pPr>
      <w:r>
        <w:rPr>
          <w:rFonts w:ascii="Arial" w:hAnsi="Arial" w:cs="Arial"/>
          <w:b/>
          <w:bCs/>
          <w:color w:val="000000"/>
          <w:sz w:val="13"/>
          <w:szCs w:val="13"/>
        </w:rPr>
        <w:t>_________________________________________________________________________________________________________________________________________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142"/>
      </w:tblGrid>
      <w:tr w:rsidR="001E3222"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22" w:rsidRDefault="001E3222">
            <w:pPr>
              <w:autoSpaceDE w:val="0"/>
              <w:spacing w:line="480" w:lineRule="auto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riferimento alle cause di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INCOMPATIBILITA’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previste dall’art.13 D.lgs. 39/2013 </w:t>
            </w:r>
          </w:p>
        </w:tc>
      </w:tr>
    </w:tbl>
    <w:p w:rsidR="001E3222" w:rsidRDefault="001E3222">
      <w:pPr>
        <w:autoSpaceDE w:val="0"/>
        <w:spacing w:line="480" w:lineRule="auto"/>
        <w:rPr>
          <w:rFonts w:ascii="Arial" w:hAnsi="Arial" w:cs="Arial"/>
          <w:b/>
          <w:bCs/>
          <w:color w:val="000000"/>
          <w:sz w:val="13"/>
          <w:szCs w:val="13"/>
        </w:rPr>
      </w:pPr>
    </w:p>
    <w:p w:rsidR="001E3222" w:rsidRDefault="001E3222">
      <w:pPr>
        <w:autoSpaceDE w:val="0"/>
        <w:jc w:val="both"/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non trovarsi </w:t>
      </w:r>
      <w:r>
        <w:rPr>
          <w:rFonts w:ascii="Arial" w:hAnsi="Arial" w:cs="Arial"/>
          <w:color w:val="000000"/>
          <w:sz w:val="20"/>
          <w:szCs w:val="20"/>
        </w:rPr>
        <w:t xml:space="preserve">in alcuna delle situazioni di incompatibilità previste dall' </w:t>
      </w:r>
      <w:r>
        <w:rPr>
          <w:rFonts w:ascii="Arial" w:hAnsi="Arial" w:cs="Arial"/>
          <w:b/>
          <w:bCs/>
          <w:color w:val="000000"/>
          <w:sz w:val="20"/>
          <w:szCs w:val="20"/>
        </w:rPr>
        <w:t>art. 13 del D.</w:t>
      </w:r>
      <w:r w:rsidR="00FD7374">
        <w:rPr>
          <w:rFonts w:ascii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gs. 39/2013 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13"/>
          <w:szCs w:val="13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13"/>
          <w:szCs w:val="13"/>
        </w:rPr>
      </w:pPr>
    </w:p>
    <w:p w:rsidR="001E3222" w:rsidRDefault="001E3222">
      <w:pPr>
        <w:autoSpaceDE w:val="0"/>
      </w:pPr>
      <w:r>
        <w:rPr>
          <w:rFonts w:ascii="Arial" w:hAnsi="Arial" w:cs="Arial"/>
          <w:color w:val="000000"/>
          <w:sz w:val="20"/>
          <w:szCs w:val="20"/>
        </w:rPr>
        <w:t>ovvero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jc w:val="both"/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trovarsi </w:t>
      </w:r>
      <w:r>
        <w:rPr>
          <w:rFonts w:ascii="Arial" w:hAnsi="Arial" w:cs="Arial"/>
          <w:color w:val="000000"/>
          <w:sz w:val="20"/>
          <w:szCs w:val="20"/>
        </w:rPr>
        <w:t xml:space="preserve">nella seguente situazione di incompatibilità prevista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dall'art. 13 del D. Lgs. 39/2013  </w:t>
      </w:r>
    </w:p>
    <w:p w:rsidR="001E3222" w:rsidRDefault="001E3222">
      <w:pPr>
        <w:autoSpaceDE w:val="0"/>
        <w:spacing w:line="480" w:lineRule="auto"/>
      </w:pPr>
      <w:r>
        <w:rPr>
          <w:rFonts w:ascii="Arial" w:hAnsi="Arial" w:cs="Arial"/>
          <w:b/>
          <w:bCs/>
          <w:color w:val="000000"/>
          <w:sz w:val="13"/>
          <w:szCs w:val="13"/>
        </w:rPr>
        <w:t>_________________________________________________________________________________________________________________________________________</w:t>
      </w:r>
    </w:p>
    <w:p w:rsidR="001E3222" w:rsidRDefault="001E3222">
      <w:pPr>
        <w:autoSpaceDE w:val="0"/>
        <w:spacing w:line="480" w:lineRule="auto"/>
      </w:pPr>
      <w:r>
        <w:rPr>
          <w:rFonts w:ascii="Arial" w:hAnsi="Arial" w:cs="Arial"/>
          <w:b/>
          <w:bCs/>
          <w:color w:val="000000"/>
          <w:sz w:val="13"/>
          <w:szCs w:val="13"/>
        </w:rPr>
        <w:t>_________________________________________________________________________________________________________________________________________</w:t>
      </w:r>
    </w:p>
    <w:p w:rsidR="001E3222" w:rsidRDefault="001E3222">
      <w:pPr>
        <w:autoSpaceDE w:val="0"/>
        <w:spacing w:line="480" w:lineRule="auto"/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13"/>
          <w:szCs w:val="13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rFonts w:ascii="Arial" w:hAnsi="Arial" w:cs="Arial"/>
          <w:b/>
          <w:bCs/>
          <w:color w:val="000000"/>
          <w:sz w:val="20"/>
          <w:szCs w:val="20"/>
        </w:rPr>
        <w:t>Data _________________________                        Firma_______________________________________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_________________________________________________________________________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DICHIARA INOLTRE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>di impegnarsi, se nominato, a scegliere, a pena di decadenza, entro il termine perentorio di 10 gg. dalla nomina tra la permanenza nell’incarico oggetto della nomina e lo svolgimento di altri incarichi e/o cariche con esso incompatibili di cui alla precedente dichiarazione; la scelta, unitamente a copia della lettera di dimissioni, dovrà essere comunicata entro il termine sopra indicato</w:t>
      </w:r>
      <w:r w:rsidR="005D5D46">
        <w:rPr>
          <w:rFonts w:ascii="Arial" w:hAnsi="Arial" w:cs="Arial"/>
          <w:color w:val="000000"/>
          <w:sz w:val="20"/>
          <w:szCs w:val="20"/>
        </w:rPr>
        <w:t>.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>di impegnarsi, se nominato, a comunicare tempestivamente il sopravvenire di cause di inconferibilità e/o incompatibilità di cui alla precedente dichiarazione.</w:t>
      </w: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p w:rsidR="001E3222" w:rsidRDefault="001E3222">
      <w:pPr>
        <w:autoSpaceDE w:val="0"/>
      </w:pPr>
      <w:r>
        <w:rPr>
          <w:rFonts w:ascii="Arial" w:hAnsi="Arial" w:cs="Arial"/>
          <w:b/>
          <w:bCs/>
          <w:color w:val="000000"/>
          <w:sz w:val="20"/>
          <w:szCs w:val="20"/>
        </w:rPr>
        <w:t>Data _________________________ Firma________________________________________________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3222" w:rsidRDefault="005517C0">
      <w:pPr>
        <w:autoSpaceDE w:val="0"/>
      </w:pPr>
      <w:r>
        <w:rPr>
          <w:rFonts w:ascii="Arial" w:hAnsi="Arial" w:cs="Arial"/>
          <w:b/>
          <w:bCs/>
          <w:color w:val="000000"/>
          <w:sz w:val="20"/>
          <w:szCs w:val="20"/>
        </w:rPr>
        <w:t>Allegato</w:t>
      </w:r>
      <w:r w:rsidR="001E3222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1E3222" w:rsidRPr="005517C0" w:rsidRDefault="001E3222">
      <w:pPr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5517C0">
        <w:rPr>
          <w:rFonts w:ascii="Arial" w:hAnsi="Arial" w:cs="Arial"/>
          <w:color w:val="000000"/>
          <w:sz w:val="20"/>
          <w:szCs w:val="20"/>
        </w:rPr>
        <w:t xml:space="preserve">copia </w:t>
      </w:r>
      <w:r>
        <w:rPr>
          <w:rFonts w:ascii="Arial" w:hAnsi="Arial" w:cs="Arial"/>
          <w:color w:val="000000"/>
          <w:sz w:val="20"/>
          <w:szCs w:val="20"/>
        </w:rPr>
        <w:t>documento di identità in corso di validità</w:t>
      </w:r>
    </w:p>
    <w:p w:rsidR="001E3222" w:rsidRDefault="001E3222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E3222">
      <w:headerReference w:type="default" r:id="rId6"/>
      <w:headerReference w:type="first" r:id="rId7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43" w:rsidRDefault="00A24D43">
      <w:r>
        <w:separator/>
      </w:r>
    </w:p>
  </w:endnote>
  <w:endnote w:type="continuationSeparator" w:id="0">
    <w:p w:rsidR="00A24D43" w:rsidRDefault="00A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43" w:rsidRDefault="00A24D43">
      <w:r>
        <w:separator/>
      </w:r>
    </w:p>
  </w:footnote>
  <w:footnote w:type="continuationSeparator" w:id="0">
    <w:p w:rsidR="00A24D43" w:rsidRDefault="00A2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22" w:rsidRDefault="001E3222">
    <w:pPr>
      <w:pStyle w:val="Intestazione"/>
    </w:pPr>
    <w:r>
      <w:tab/>
    </w:r>
    <w:r>
      <w:tab/>
      <w:t>Allegato 4)</w:t>
    </w:r>
  </w:p>
  <w:p w:rsidR="001E3222" w:rsidRDefault="001E32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22" w:rsidRDefault="001E32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B0"/>
    <w:rsid w:val="00197EBA"/>
    <w:rsid w:val="001A398D"/>
    <w:rsid w:val="001E3222"/>
    <w:rsid w:val="002865D8"/>
    <w:rsid w:val="00317AB0"/>
    <w:rsid w:val="003455B2"/>
    <w:rsid w:val="003D6920"/>
    <w:rsid w:val="004226C8"/>
    <w:rsid w:val="004B53F0"/>
    <w:rsid w:val="005517C0"/>
    <w:rsid w:val="005A1565"/>
    <w:rsid w:val="005D5D46"/>
    <w:rsid w:val="006636DC"/>
    <w:rsid w:val="007C71A3"/>
    <w:rsid w:val="008D1A2D"/>
    <w:rsid w:val="009B196C"/>
    <w:rsid w:val="00A24D43"/>
    <w:rsid w:val="00AE2182"/>
    <w:rsid w:val="00B91359"/>
    <w:rsid w:val="00BC61AA"/>
    <w:rsid w:val="00C05123"/>
    <w:rsid w:val="00C676BC"/>
    <w:rsid w:val="00E97017"/>
    <w:rsid w:val="00EE73F8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D91EE01"/>
  <w15:chartTrackingRefBased/>
  <w15:docId w15:val="{05B880BE-FD15-4D35-9093-3154D8CF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4210</Characters>
  <Application>Microsoft Office Word</Application>
  <DocSecurity>0</DocSecurity>
  <Lines>263</Lines>
  <Paragraphs>157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e.catapano</dc:creator>
  <cp:keywords/>
  <cp:lastModifiedBy>UTENTE</cp:lastModifiedBy>
  <cp:revision>2</cp:revision>
  <cp:lastPrinted>1601-01-01T00:00:00Z</cp:lastPrinted>
  <dcterms:created xsi:type="dcterms:W3CDTF">2022-02-17T10:06:00Z</dcterms:created>
  <dcterms:modified xsi:type="dcterms:W3CDTF">2022-02-17T10:06:00Z</dcterms:modified>
</cp:coreProperties>
</file>