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360" w:before="0" w:after="0"/>
        <w:ind w:left="0" w:hanging="0"/>
        <w:jc w:val="both"/>
        <w:rPr>
          <w:b/>
          <w:b/>
        </w:rPr>
      </w:pPr>
      <w:r>
        <w:rPr>
          <w:rFonts w:cs="Times New Roman" w:ascii="Times New Roman" w:hAnsi="Times New Roman"/>
          <w:b/>
          <w:sz w:val="21"/>
          <w:szCs w:val="21"/>
        </w:rPr>
        <w:t>ACQUISIZIONE, CON PROCEDURA R.D.O. SU MEPA, AI SENSI DELL’ART. 36, COMMA 2, LETT. B, DEL D.LGS 50/2016 E AI SENSI DELL’ART 1, COMMA 2 LETTERA B) DELLA LEGGE 120/2020, COSÌ COME MODIFICATO CON LEGGE 108/2021, PER LA FORNITURA DI STAMPANTI MULTIFUNZIONI – CIG Z14347CCDA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AUTODICHIARAZIONE SOSTITUTIVA</w:t>
      </w:r>
    </w:p>
    <w:p>
      <w:pPr>
        <w:pStyle w:val="Normal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resa ai sensi degli artt. 46 e 47 del D.P.R. del 28 dicembre 2000, n. 445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Il sottoscritto 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nato a _________________________________________________________ il ____________________________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residente a ___________________________________________ in via ___________________________________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Codice fiscale 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ai sensi e per gli effetti del D.P.R. 445/2000 consapevole delle responsabilità e delle conseguenze civili e penali previste in caso di dichiarazioni mendaci e/o formazione o uso di atti falsi, nonché in caso di esibizione di atti contenenti dati non più corrispondenti a verità, e consapevole del fatto che l’Amministrazione si riserva la facoltà di effettuare controlli anche a campione sulle dichiarazioni prodotte, acquisendo la relativa documentazione e, che qualora emerga la non veridicità del contenuto della presente dichiarazione decadrà dai benefici e dalle autorizzazioni per le quali la stessa dichiarazione è stata rilasciata</w:t>
      </w:r>
    </w:p>
    <w:p>
      <w:pPr>
        <w:pStyle w:val="Normal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DICHIARA</w:t>
      </w:r>
    </w:p>
    <w:p>
      <w:pPr>
        <w:pStyle w:val="Normal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01</w:t>
        <w:tab/>
        <w:t>di essere il legale rappresentante dell’impresa 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02</w:t>
        <w:tab/>
        <w:t xml:space="preserve">che questa Impresa è iscritta dal _____________________ al Registro delle Imprese di 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___________________________, al numero ______________________, tenuto dalla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C.C.I.A.A. di __________________________________ Partita IVA _________________________________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03</w:t>
        <w:tab/>
        <w:t>che la ditta ha le seguenti posizioni contributive con i rispettivi Istituti (nel caso di più posizioni o di più sedi si prega di specificarle):</w:t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INPS di ………………… matricola……………… PAT n° ……………………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INAIL di ……………………………….. n° ……………………………………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CCNL applicato:……………………………………………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04</w:t>
        <w:tab/>
        <w:t>che ai sensi dell'art. 3, comma 7, della Legge 13 Agosto 2010, n. 136, è dedicato il seguente conto corrente bancario/postale: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Numero conto corrente: _________________________________________________________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Istituto di Credito: ______________________________________________________________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Agenzia: _____________________________________________________________________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IBAN: _______________________________________________________________________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05</w:t>
        <w:tab/>
        <w:t>di autorizzare la Stazione Appaltante ad inviare tutte le comunicazioni relative alla gara con la seguente modalità:</w:t>
      </w:r>
    </w:p>
    <w:p>
      <w:pPr>
        <w:pStyle w:val="Normal"/>
        <w:ind w:left="284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via PEC all’indirizzo _______________________________________;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via EMAIL all’indirizzo _______________________________________;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06</w:t>
        <w:tab/>
        <w:t>che non sussistono l’esistenza delle cause di esclusione dalla partecipazione ad una procedura d’appalto o concessione elencate nell’art. 80 del D.Lgs. n. 50/2016;</w:t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07</w:t>
        <w:tab/>
        <w:t>che in particolare non sussistono l’esistenza delle cause di esclusione dalla partecipazione ad una procedura d’appalto o concessione elencate nei seguenti commi dell’art. 80 del D.Lgs. n. 50/2016:</w:t>
      </w:r>
    </w:p>
    <w:p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comma 1:</w:t>
      </w:r>
    </w:p>
    <w:p>
      <w:pPr>
        <w:pStyle w:val="ListParagraph"/>
        <w:ind w:left="709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di essere a conoscenza che costituisce motivo di esclusione di un operatore economico dalla partecipazione a una procedura d'appalto o concessione, la condanna con sentenza definitiva o decreto penale di condanna divenuto irrevocabile o sentenza di applicazione della pena su richiesta ai sensi dell'art.444 del codice di procedura penale,  anche riferita a un suo subappaltatore nei casi di cui all'art. 105, comma 6, per uno dei seguenti reati:</w:t>
      </w:r>
    </w:p>
    <w:p>
      <w:pPr>
        <w:pStyle w:val="Normal"/>
        <w:ind w:left="851" w:hanging="141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false comunicazioni sociali di cui agli articoli 2621 e 2622 del Codice Civile;</w:t>
      </w:r>
    </w:p>
    <w:p>
      <w:pPr>
        <w:pStyle w:val="Normal"/>
        <w:ind w:left="851" w:hanging="141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commesso sfruttamento del lavoro minorile e altre forme di tratta di esseri umani definite con il decreto legislativo 4 marzo 2014, n. 24;</w:t>
      </w:r>
    </w:p>
    <w:p>
      <w:pPr>
        <w:pStyle w:val="Normal"/>
        <w:ind w:left="851" w:hanging="141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commesso ogni altro delitto da cui derivi, quale pena accessoria, l'incapacità di contrattare con la pubblica amministrazione;</w:t>
      </w:r>
    </w:p>
    <w:p>
      <w:pPr>
        <w:pStyle w:val="ListParagraph"/>
        <w:numPr>
          <w:ilvl w:val="0"/>
          <w:numId w:val="1"/>
        </w:numPr>
        <w:ind w:left="851" w:hanging="36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comma 4:</w:t>
      </w:r>
    </w:p>
    <w:p>
      <w:pPr>
        <w:pStyle w:val="ListParagraph"/>
        <w:ind w:left="85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di non aver commesso violazioni gravi, definitivamente accertate, rispetto agli obblighi relativi al pagamento delle imposte e tasse o dei contributi previdenziali;</w:t>
      </w:r>
    </w:p>
    <w:p>
      <w:pPr>
        <w:pStyle w:val="ListParagraph"/>
        <w:numPr>
          <w:ilvl w:val="0"/>
          <w:numId w:val="1"/>
        </w:numPr>
        <w:ind w:left="851" w:hanging="36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comma 5: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commesso gravi infrazioni debitamente accertate alle norme in materia di salute e sicurezza sul lavoro risultanti dai dati in possesso dell'Osservatorio nonché agli obblighi di cui all'articolo 30, comma 3 del presente codice;</w:t>
      </w:r>
    </w:p>
    <w:p>
      <w:pPr>
        <w:pStyle w:val="Normal"/>
        <w:ind w:left="709" w:hanging="284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essere in stato di fallimento, di liquidazione coatta, di concordato preventivo, salvo il caso di concordato con continuità aziendale, o nei cui riguardi sia in corso un procedimento per la dichiarazione di una di tali situazioni, fermo restando quanto previsto dall'articolo 110 del Codice e 186-bis del regio decreto 16 marzo 1942, n. 267, (sostituita dall'art. 1, comma 20, lett. o), della legge n. 55 del 2019);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essersi reso colpevole di gravi illeciti professionali, tali da rendere dubbia la sua integrità o affidabilità (come modificato dall’art.5 del D. L. n.135 del 14/12/2018);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tentato di influenzare indebitamente il processo decisionale della Stazione Appaltante o cercato di ottenere informazioni riservate a fini di proprio vantaggio oppure di aver fornito, anche per negligenza, informazioni false o fuorvianti suscettibili di influenzare le decisioni sull’esclusione, la selezione o l’aggiudicazione, ovvero aver omesso le informazioni dovute ai fini del corretto svolgimento della procedura di selezione, (come modificato dall’art.5 del D. L. n.135 del 14/12/2018);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dimostrato significative o persistenti carenze nell’esecuzione di un precedente contratto di appalto o di concessione che ne hanno causato la risoluzione per inadempimento ovvero la condanna al risarcimento del danno o altre sanzioni comparabili, (come modificato dall’art.5 del D. L. n.135 del 14/12/2018);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determinare una situazione di conflitto di interesse ai sensi dell'articolo 42, comma 2, non diversamente risolvibile;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essere iscritto nel casellario informatico tenuto dall’Osservatorio dell’ANAC per aver presentato false dichiarazioni o falsa documentazione nelle procedure di gara risultanti dai dati in possesso dell'Osservatorio;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aver violato il divieto di intestazione fiduciaria posto dall’articolo 17 della legge 19 marzo 1990, n. 55;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essere in regola con le norme che disciplinano il diritto al lavoro dei disabili, ai sensi della Legge 12 Marzo 1999, n. 68;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essere stato vittima di uno dei reati previsti e puniti dagli articoli 317n (concussione) e 629 (estorsione) del codice penale, aggravati ai sensi dell'articolo 7 del decreto legge 13 maggio 1991, n. 152, convertito, con modificazioni dalla legge 12 luglio 1991, n. 203;</w:t>
      </w:r>
    </w:p>
    <w:p>
      <w:pPr>
        <w:pStyle w:val="Normal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di non trovarsi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decisionale;</w:t>
      </w:r>
    </w:p>
    <w:p>
      <w:pPr>
        <w:pStyle w:val="Normal"/>
        <w:ind w:left="284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08</w:t>
        <w:tab/>
        <w:t>ai sensi dell'art. 53, comma 16 ter del D.Lgs n. 165/2001, di non aver concluso contratti di lavoro subordinato o autonomo o comunque di non avere attribuito incarichi per il triennio successivo alla cessazione del rapporto di lavoro ad ex dipendenti che hanno esercitato poteri autorizzativi o negoziali per conto delle pubbliche amministrazioni nei loro confronti per il triennio successivo alla cessazione del rapporto di lavoro;</w:t>
      </w:r>
    </w:p>
    <w:p>
      <w:pPr>
        <w:pStyle w:val="Normal"/>
        <w:ind w:left="284" w:hanging="284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09</w:t>
        <w:tab/>
        <w:t xml:space="preserve">di essere a conoscenza che la violazione degli obblighi indicati dal D.P.R. 16/04/2013 n. 62 e del codice di comportamento del libero Consorzio comunale di Enna, approvato con Determinazione del Commissario Straordinario n. 70/2021, aggiornato con Determinazione Commissario Straordinario n. 70/2021 all’art. 31 (consultabile al seguente link: </w:t>
      </w:r>
      <w:hyperlink r:id="rId2">
        <w:r>
          <w:rPr>
            <w:rStyle w:val="CollegamentoInternet"/>
            <w:rFonts w:cs="Times New Roman" w:ascii="Times New Roman" w:hAnsi="Times New Roman"/>
            <w:i/>
            <w:iCs/>
            <w:color w:val="auto"/>
            <w:sz w:val="17"/>
            <w:szCs w:val="17"/>
          </w:rPr>
          <w:t>https://provincia-enna.e-pal.it/L190/sezione/show/176123?sort=&amp;search=&amp;idSezione=688&amp;activePage=&amp;</w:t>
        </w:r>
      </w:hyperlink>
      <w:r>
        <w:rPr>
          <w:rFonts w:cs="Times New Roman" w:ascii="Times New Roman" w:hAnsi="Times New Roman"/>
          <w:i/>
          <w:iCs/>
          <w:sz w:val="17"/>
          <w:szCs w:val="17"/>
        </w:rPr>
        <w:t xml:space="preserve"> </w:t>
      </w:r>
      <w:hyperlink r:id="rId3">
        <w:r>
          <w:rPr>
            <w:rStyle w:val="CollegamentoInternet"/>
            <w:rFonts w:cs="Times New Roman" w:ascii="Times New Roman" w:hAnsi="Times New Roman"/>
            <w:i/>
            <w:iCs/>
            <w:color w:val="auto"/>
            <w:sz w:val="21"/>
            <w:szCs w:val="21"/>
          </w:rPr>
          <w:t>Amministrazione Trasparente - Casa di Vetro (e-pal.it</w:t>
        </w:r>
      </w:hyperlink>
      <w:r>
        <w:rPr>
          <w:rFonts w:cs="Times New Roman" w:ascii="Times New Roman" w:hAnsi="Times New Roman"/>
          <w:sz w:val="21"/>
          <w:szCs w:val="21"/>
        </w:rPr>
        <w:t>) costituisce causa di risoluzione del contratto: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il presente codice si applica in generale a tutti i dipendenti della Provincia di Enna sia a tempo indeterminato che determinato, anche in posizione di diretta collaborazione con gli organi politici. Le stesse disposizioni si estendono, per quanto compatibile, a collaboratori e consulenti dell’Ente, con qualsiasi tipologia di contratto o incarico e a qualsiasi titolo, nonché ai collaboratori a qualsiasi titolo di imprese fornitrici di beni o servizi e che realizzano opere in favore dell'amministrazione provinciale.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a tale fine, negli atti di incarico o nei contratti di acquisizioni delle collaborazioni, delle consulenze o dei servizi, sono inserite apposite disposizioni o clausole di risoluzione o decadenza del rapporto in caso di violazione degli obblighi derivanti dal presente codice oltre che del DPR n. 62/2013.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- ciascun settore conserva le dichiarazioni di presa d’atto delle disposizioni del Codice generale nonché del codice di comportamento della Provincia di Enna da parte dei dipendenti o dei collaboratori, per i controlli periodici da parte del Responsabile della Prevenzione della Corruzione.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10</w:t>
        <w:tab/>
        <w:t>ai sensi dell'art. 6 bis della legge 241/1990 e dall'art. 1 comma 9 lett. e, della legge 190/2012, non risultano cause di conflitto di interesse, anche potenziali nei confronti del responsabile del procedimento;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11</w:t>
        <w:tab/>
        <w:t>che non sussiste, a proprio carico, alcuna condizione ostativa previste dalla legislazione antimafia;</w:t>
      </w:r>
    </w:p>
    <w:p>
      <w:pPr>
        <w:pStyle w:val="Normal"/>
        <w:ind w:left="426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12</w:t>
        <w:tab/>
        <w:t>di essere informato che, ai sensi e per gli effetti del Decreto Legislativo 30/06/2003 n. 196 e s.m.i, i dati personali raccolti saranno trattati, anche con strumenti informatici, esclusivamente nell’ambito della fornitura in oggetto.</w:t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Luogo ______________________________________________</w:t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Data _________________________________________</w:t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Timbro e Firma</w:t>
      </w:r>
    </w:p>
    <w:p>
      <w:pPr>
        <w:pStyle w:val="Normal"/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_________________________________________________</w:t>
      </w:r>
    </w:p>
    <w:p>
      <w:pPr>
        <w:pStyle w:val="Normal"/>
        <w:ind w:left="426" w:hanging="426"/>
        <w:jc w:val="left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ind w:left="426" w:hanging="426"/>
        <w:jc w:val="left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ind w:left="426" w:hanging="426"/>
        <w:jc w:val="left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SI ALLEGA ALLA PRESENTE VALIDO DOCUMENTO DI IDENTITA’</w:t>
      </w:r>
    </w:p>
    <w:sectPr>
      <w:footerReference w:type="default" r:id="rId4"/>
      <w:type w:val="nextPage"/>
      <w:pgSz w:w="11906" w:h="16838"/>
      <w:pgMar w:left="993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28"/>
        <w:szCs w:val="28"/>
        <w:vertAlign w:val="superscript"/>
      </w:rPr>
    </w:pPr>
    <w:r>
      <w:rPr>
        <w:sz w:val="28"/>
        <w:szCs w:val="28"/>
        <w:vertAlign w:val="superscript"/>
      </w:rPr>
      <w:t xml:space="preserve">Pag </w:t>
    </w:r>
    <w:r>
      <w:rPr>
        <w:sz w:val="28"/>
        <w:szCs w:val="28"/>
        <w:vertAlign w:val="superscript"/>
      </w:rPr>
      <w:fldChar w:fldCharType="begin"/>
    </w:r>
    <w:r>
      <w:rPr>
        <w:vertAlign w:val="superscript"/>
        <w:sz w:val="28"/>
        <w:szCs w:val="28"/>
      </w:rPr>
      <w:instrText> PAGE </w:instrText>
    </w:r>
    <w:r>
      <w:rPr>
        <w:vertAlign w:val="superscript"/>
        <w:sz w:val="28"/>
        <w:szCs w:val="28"/>
      </w:rPr>
      <w:fldChar w:fldCharType="separate"/>
    </w:r>
    <w:r>
      <w:rPr>
        <w:vertAlign w:val="superscript"/>
        <w:sz w:val="28"/>
        <w:szCs w:val="28"/>
      </w:rPr>
      <w:t>3</w:t>
    </w:r>
    <w:r>
      <w:rPr>
        <w:vertAlign w:val="superscript"/>
        <w:sz w:val="28"/>
        <w:szCs w:val="28"/>
      </w:rPr>
      <w:fldChar w:fldCharType="end"/>
    </w:r>
    <w:r>
      <w:rPr>
        <w:sz w:val="28"/>
        <w:szCs w:val="28"/>
        <w:vertAlign w:val="superscript"/>
      </w:rPr>
      <w:t xml:space="preserve"> di 3</w:t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1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5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urier New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0603"/>
    <w:pPr>
      <w:widowControl/>
      <w:bidi w:val="0"/>
      <w:spacing w:before="0" w:after="0"/>
      <w:jc w:val="both"/>
    </w:pPr>
    <w:rPr>
      <w:rFonts w:ascii="Calibri" w:hAnsi="Calibri" w:eastAsia="Calibri" w:cs="Courier New"/>
      <w:color w:val="auto"/>
      <w:kern w:val="0"/>
      <w:sz w:val="24"/>
      <w:szCs w:val="24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224e07"/>
    <w:rPr/>
  </w:style>
  <w:style w:type="character" w:styleId="CollegamentoInternet">
    <w:name w:val="Collegamento Internet"/>
    <w:basedOn w:val="DefaultParagraphFont"/>
    <w:uiPriority w:val="99"/>
    <w:unhideWhenUsed/>
    <w:rsid w:val="00224e07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ab0672"/>
    <w:rPr>
      <w:sz w:val="24"/>
      <w:szCs w:val="24"/>
      <w:lang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b0672"/>
    <w:rPr>
      <w:sz w:val="24"/>
      <w:szCs w:val="24"/>
      <w:lang w:eastAsia="en-US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06c75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252e"/>
    <w:rPr>
      <w:color w:val="605E5C"/>
      <w:shd w:fill="E1DFDD" w:val="clear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eb5909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e1345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ab067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b067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d5393a"/>
    <w:pPr>
      <w:spacing w:beforeAutospacing="1" w:after="119"/>
      <w:jc w:val="left"/>
    </w:pPr>
    <w:rPr>
      <w:rFonts w:ascii="Times New Roman" w:hAnsi="Times New Roman" w:eastAsia="Times New Roman" w:cs="Times New Roman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06c7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vincia-enna.e-pal.it/L190/sezione/show/176123?sort=&amp;search=&amp;idSezione=688&amp;activePage=&amp;" TargetMode="External"/><Relationship Id="rId3" Type="http://schemas.openxmlformats.org/officeDocument/2006/relationships/hyperlink" Target="https://provincia-enna.e-pal.it/L190/sezione/show/176123?sort=&amp;search=&amp;idSezione=688&amp;activePage=&amp;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ACEE-A56E-48AD-BA15-AA336FA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1364</Words>
  <Characters>8522</Characters>
  <CharactersWithSpaces>9826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2021-11-21T07:50:00Z</dcterms:created>
  <dc:creator>Turismo</dc:creator>
  <dc:description/>
  <dc:language>it-IT</dc:language>
  <cp:lastModifiedBy/>
  <cp:lastPrinted>2020-02-04T07:00:00Z</cp:lastPrinted>
  <dcterms:modified xsi:type="dcterms:W3CDTF">2021-12-28T17:34:18Z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